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0A3494">
      <w:pPr>
        <w:pStyle w:val="Style1"/>
        <w:widowControl/>
        <w:spacing w:before="67"/>
        <w:ind w:right="5"/>
        <w:jc w:val="right"/>
        <w:rPr>
          <w:rStyle w:val="FontStyle12"/>
        </w:rPr>
      </w:pPr>
      <w:bookmarkStart w:id="0" w:name="_GoBack"/>
      <w:bookmarkEnd w:id="0"/>
      <w:r>
        <w:rPr>
          <w:rStyle w:val="FontStyle12"/>
        </w:rPr>
        <w:t>Приложение</w:t>
      </w:r>
    </w:p>
    <w:p w:rsidR="00000000" w:rsidRDefault="000A3494">
      <w:pPr>
        <w:pStyle w:val="Style2"/>
        <w:widowControl/>
        <w:ind w:right="998"/>
        <w:jc w:val="left"/>
        <w:rPr>
          <w:rStyle w:val="FontStyle11"/>
        </w:rPr>
      </w:pPr>
      <w:r>
        <w:rPr>
          <w:rStyle w:val="FontStyle11"/>
        </w:rPr>
        <w:t>Налоговые органы разъясняют, в каких случаях теплицы и другие хозпостройки физлиц облагаются налогом.</w:t>
      </w:r>
    </w:p>
    <w:p w:rsidR="00000000" w:rsidRDefault="000A3494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Default="000A3494">
      <w:pPr>
        <w:pStyle w:val="Style3"/>
        <w:widowControl/>
        <w:spacing w:before="106" w:line="355" w:lineRule="exact"/>
        <w:rPr>
          <w:rStyle w:val="FontStyle12"/>
        </w:rPr>
      </w:pPr>
      <w:r>
        <w:rPr>
          <w:rStyle w:val="FontStyle12"/>
        </w:rPr>
        <w:t>В соответствии с положениями статьи 400, пункта 2 ст</w:t>
      </w:r>
      <w:r>
        <w:rPr>
          <w:rStyle w:val="FontStyle12"/>
        </w:rPr>
        <w:t xml:space="preserve">атьи 408 Налогового кодекса Российской Федерации (далее - Налоговый кодекс) налогом на имущество физических лиц (далее - налог) облагаются только те хозяйственные постройки, сведения о которых представлены в налоговые органы органами Росреестра из Единого </w:t>
      </w:r>
      <w:r>
        <w:rPr>
          <w:rStyle w:val="FontStyle12"/>
        </w:rPr>
        <w:t>государственного реестра недвижимости (далее - ЕГРН) или были представлены в налоговые органы из БТИ.</w:t>
      </w:r>
    </w:p>
    <w:p w:rsidR="00000000" w:rsidRDefault="000A3494">
      <w:pPr>
        <w:pStyle w:val="Style3"/>
        <w:widowControl/>
        <w:spacing w:line="350" w:lineRule="exact"/>
        <w:ind w:firstLine="710"/>
        <w:rPr>
          <w:rStyle w:val="FontStyle12"/>
        </w:rPr>
      </w:pPr>
      <w:r>
        <w:rPr>
          <w:rStyle w:val="FontStyle12"/>
        </w:rPr>
        <w:t>В число хозпостроек могут входить хозяйственные, бытовые, подсобные капитальные строения, вспомогательные сооружения, в том числе летние кухни, бани и ины</w:t>
      </w:r>
      <w:r>
        <w:rPr>
          <w:rStyle w:val="FontStyle12"/>
        </w:rPr>
        <w:t>е аналогичные объекты недвижимости. Жилые помещения и гаражи не являются хозпостройками и облагаются налогом как самостоятельная недвижимость (разъяснения Минфина России от 16.05.2017 № 03-05-04-01/29325 доведены до налоговых органов письмом ФНС Россииот 1</w:t>
      </w:r>
      <w:r>
        <w:rPr>
          <w:rStyle w:val="FontStyle12"/>
        </w:rPr>
        <w:t>7.05.2017 №БС-4-21/9186@).</w:t>
      </w:r>
    </w:p>
    <w:p w:rsidR="00000000" w:rsidRDefault="000A3494">
      <w:pPr>
        <w:pStyle w:val="Style3"/>
        <w:widowControl/>
        <w:spacing w:line="350" w:lineRule="exact"/>
        <w:ind w:firstLine="715"/>
        <w:rPr>
          <w:rStyle w:val="FontStyle12"/>
        </w:rPr>
      </w:pPr>
      <w:r>
        <w:rPr>
          <w:rStyle w:val="FontStyle12"/>
        </w:rPr>
        <w:t>Владелец хозпостройки сам определяет, нужно ему обращаться в органы Росреестра для ее регистрации в качестве недвижимости в ЕГРН или нет. Для внесения в ЕГРН хозпостройка должна отвечать признакам недвижимости: быть прочно связан</w:t>
      </w:r>
      <w:r>
        <w:rPr>
          <w:rStyle w:val="FontStyle12"/>
        </w:rPr>
        <w:t>а с землей, а ее перемещение без несоразмерного ущерба ее назначению невозможно (пункт 1 статьи 130 Гражданского кодекса Российской Федерации).</w:t>
      </w:r>
    </w:p>
    <w:p w:rsidR="00000000" w:rsidRDefault="000A3494">
      <w:pPr>
        <w:pStyle w:val="Style2"/>
        <w:widowControl/>
        <w:spacing w:before="5" w:line="350" w:lineRule="exact"/>
        <w:ind w:firstLine="720"/>
        <w:rPr>
          <w:rStyle w:val="FontStyle11"/>
        </w:rPr>
      </w:pPr>
      <w:r>
        <w:rPr>
          <w:rStyle w:val="FontStyle11"/>
        </w:rPr>
        <w:t xml:space="preserve">Хозпостройки, которые не относятся к недвижимости, а также объекты движимого имущества в ЕГРН не регистрируются </w:t>
      </w:r>
      <w:r>
        <w:rPr>
          <w:rStyle w:val="FontStyle11"/>
        </w:rPr>
        <w:t>(статья 131 Гражданского кодекса Российской Федерации) и вышеуказанным налогом не облагаются. Речь идет, в частности, о не имеющих капитального фундамента теплицах, сборно-разборных хозблоках, бытовках, навесах, некапитальных временных строениях и т.п.</w:t>
      </w:r>
    </w:p>
    <w:p w:rsidR="00000000" w:rsidRDefault="000A3494">
      <w:pPr>
        <w:pStyle w:val="Style4"/>
        <w:widowControl/>
        <w:spacing w:before="5" w:line="350" w:lineRule="exact"/>
        <w:rPr>
          <w:rStyle w:val="FontStyle12"/>
        </w:rPr>
      </w:pPr>
      <w:r>
        <w:rPr>
          <w:rStyle w:val="FontStyle12"/>
        </w:rPr>
        <w:t>Есл</w:t>
      </w:r>
      <w:r>
        <w:rPr>
          <w:rStyle w:val="FontStyle12"/>
        </w:rPr>
        <w:t>и хозпостройка зарегистрирована в ЕГРН, но ее площадь не более 50 кв.м, то налог с нее не взимается. Льгота применяется только для одной хозпостройки (независимо от её расположения в пределах страны). Основное условие - постройка не используется в предприн</w:t>
      </w:r>
      <w:r>
        <w:rPr>
          <w:rStyle w:val="FontStyle12"/>
        </w:rPr>
        <w:t>имательской деятельности (подпункт 15 пункта 1, пункты 2-5 статьи 407 Налогового кодекса).</w:t>
      </w:r>
    </w:p>
    <w:p w:rsidR="00052CE4" w:rsidRPr="00052CE4" w:rsidRDefault="000A3494">
      <w:pPr>
        <w:pStyle w:val="Style4"/>
        <w:widowControl/>
        <w:spacing w:line="350" w:lineRule="exact"/>
        <w:ind w:firstLine="710"/>
        <w:rPr>
          <w:rStyle w:val="FontStyle12"/>
        </w:rPr>
      </w:pPr>
      <w:r>
        <w:rPr>
          <w:rStyle w:val="FontStyle12"/>
        </w:rPr>
        <w:t xml:space="preserve">В силу пункта 2 статьи 399 Налогового кодекса представительные органы муниципальных образований могут расширить условия применения вышеуказанной налоговой льготы по </w:t>
      </w:r>
      <w:r>
        <w:rPr>
          <w:rStyle w:val="FontStyle12"/>
        </w:rPr>
        <w:t>налогу (например, в отношении неограниченного числа хозпостроек в пределах муниципального образования или на хозпостройки площадью более 50 кв.м). Ознакомиться с перечнем налоговых льгот можно в сервисе «Справочная информация о ставках и льготах по имущест</w:t>
      </w:r>
      <w:r>
        <w:rPr>
          <w:rStyle w:val="FontStyle12"/>
        </w:rPr>
        <w:t>венным налогам» на сайте ФНС России</w:t>
      </w:r>
      <w:r w:rsidRPr="00052CE4">
        <w:rPr>
          <w:rStyle w:val="FontStyle12"/>
        </w:rPr>
        <w:t xml:space="preserve"> </w:t>
      </w:r>
      <w:hyperlink r:id="rId6" w:history="1">
        <w:r>
          <w:rPr>
            <w:rStyle w:val="a3"/>
            <w:sz w:val="26"/>
            <w:szCs w:val="26"/>
            <w:lang w:val="en-US"/>
          </w:rPr>
          <w:t>nalog</w:t>
        </w:r>
        <w:r w:rsidRPr="00052CE4"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 w:rsidRPr="00052CE4">
        <w:rPr>
          <w:rStyle w:val="FontStyle12"/>
        </w:rPr>
        <w:t>.</w:t>
      </w:r>
    </w:p>
    <w:sectPr w:rsidR="00052CE4" w:rsidRPr="00052CE4">
      <w:type w:val="continuous"/>
      <w:pgSz w:w="11905" w:h="16837"/>
      <w:pgMar w:top="1091" w:right="905" w:bottom="1440" w:left="90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494" w:rsidRDefault="000A3494">
      <w:r>
        <w:separator/>
      </w:r>
    </w:p>
  </w:endnote>
  <w:endnote w:type="continuationSeparator" w:id="0">
    <w:p w:rsidR="000A3494" w:rsidRDefault="000A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494" w:rsidRDefault="000A3494">
      <w:r>
        <w:separator/>
      </w:r>
    </w:p>
  </w:footnote>
  <w:footnote w:type="continuationSeparator" w:id="0">
    <w:p w:rsidR="000A3494" w:rsidRDefault="000A3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CE4"/>
    <w:rsid w:val="00052CE4"/>
    <w:rsid w:val="000A3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13FCE5C-E8BE-46C3-8703-020FBB28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60" w:lineRule="exact"/>
      <w:ind w:firstLine="710"/>
      <w:jc w:val="both"/>
    </w:pPr>
  </w:style>
  <w:style w:type="paragraph" w:customStyle="1" w:styleId="Style3">
    <w:name w:val="Style3"/>
    <w:basedOn w:val="a"/>
    <w:uiPriority w:val="99"/>
    <w:pPr>
      <w:spacing w:line="359" w:lineRule="exact"/>
      <w:ind w:firstLine="706"/>
      <w:jc w:val="both"/>
    </w:pPr>
  </w:style>
  <w:style w:type="paragraph" w:customStyle="1" w:styleId="Style4">
    <w:name w:val="Style4"/>
    <w:basedOn w:val="a"/>
    <w:uiPriority w:val="99"/>
    <w:pPr>
      <w:spacing w:line="354" w:lineRule="exact"/>
      <w:ind w:firstLine="715"/>
    </w:pPr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6"/>
      <w:szCs w:val="26"/>
    </w:rPr>
  </w:style>
  <w:style w:type="character" w:styleId="a3">
    <w:name w:val="Hyperlink"/>
    <w:basedOn w:val="a0"/>
    <w:uiPriority w:val="99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alog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Scanned Document</vt:lpstr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Scanned Document</dc:title>
  <dc:subject/>
  <dc:creator>Сусленкова Ольга Леонидовна</dc:creator>
  <cp:keywords/>
  <dc:description/>
  <cp:lastModifiedBy>Сусленкова Ольга Леонидовна</cp:lastModifiedBy>
  <cp:revision>1</cp:revision>
  <dcterms:created xsi:type="dcterms:W3CDTF">2019-05-07T06:13:00Z</dcterms:created>
  <dcterms:modified xsi:type="dcterms:W3CDTF">2019-05-07T06:14:00Z</dcterms:modified>
</cp:coreProperties>
</file>