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2B" w:rsidRDefault="0038632B" w:rsidP="0038632B">
      <w:pPr>
        <w:pStyle w:val="ConsPlusTitle"/>
        <w:jc w:val="center"/>
        <w:rPr>
          <w:szCs w:val="28"/>
        </w:rPr>
      </w:pPr>
      <w:r w:rsidRPr="004A0F8F">
        <w:rPr>
          <w:szCs w:val="28"/>
        </w:rPr>
        <w:t>АДМИНИСТРАЦИЯ</w:t>
      </w:r>
    </w:p>
    <w:p w:rsidR="00712B4A" w:rsidRDefault="00712B4A" w:rsidP="0038632B">
      <w:pPr>
        <w:pStyle w:val="ConsPlusTitle"/>
        <w:jc w:val="center"/>
        <w:rPr>
          <w:szCs w:val="28"/>
        </w:rPr>
      </w:pPr>
      <w:r>
        <w:rPr>
          <w:szCs w:val="28"/>
        </w:rPr>
        <w:t>ВАРЛАМОВСКОГО</w:t>
      </w:r>
      <w:r w:rsidR="0038632B">
        <w:rPr>
          <w:szCs w:val="28"/>
        </w:rPr>
        <w:t xml:space="preserve">  СЕЛЬСОВЕТА </w:t>
      </w:r>
    </w:p>
    <w:p w:rsidR="0038632B" w:rsidRPr="004A0F8F" w:rsidRDefault="0038632B" w:rsidP="0038632B">
      <w:pPr>
        <w:pStyle w:val="ConsPlusTitle"/>
        <w:jc w:val="center"/>
        <w:rPr>
          <w:szCs w:val="28"/>
        </w:rPr>
      </w:pPr>
      <w:r>
        <w:rPr>
          <w:szCs w:val="28"/>
        </w:rPr>
        <w:t xml:space="preserve">БОЛОТНИНСКОГО </w:t>
      </w:r>
      <w:r w:rsidRPr="004A0F8F">
        <w:rPr>
          <w:szCs w:val="28"/>
        </w:rPr>
        <w:t xml:space="preserve"> РАЙОНА</w:t>
      </w:r>
      <w:r>
        <w:rPr>
          <w:szCs w:val="28"/>
        </w:rPr>
        <w:t xml:space="preserve"> НОВОСИБИРСКОЙ</w:t>
      </w:r>
      <w:r w:rsidRPr="004A0F8F">
        <w:rPr>
          <w:szCs w:val="28"/>
        </w:rPr>
        <w:t xml:space="preserve"> ОБЛАСТИ</w:t>
      </w:r>
    </w:p>
    <w:p w:rsidR="0038632B" w:rsidRPr="004A0F8F" w:rsidRDefault="0038632B" w:rsidP="0038632B">
      <w:pPr>
        <w:pStyle w:val="ConsPlusTitle"/>
        <w:rPr>
          <w:b w:val="0"/>
          <w:szCs w:val="28"/>
        </w:rPr>
      </w:pPr>
    </w:p>
    <w:p w:rsidR="0038632B" w:rsidRDefault="0038632B" w:rsidP="00712B4A">
      <w:pPr>
        <w:pStyle w:val="ConsPlusTitle"/>
        <w:contextualSpacing/>
        <w:jc w:val="center"/>
        <w:rPr>
          <w:szCs w:val="28"/>
        </w:rPr>
      </w:pPr>
      <w:r w:rsidRPr="004A0F8F">
        <w:rPr>
          <w:szCs w:val="28"/>
        </w:rPr>
        <w:t>ПОСТАНОВЛЕНИЕ</w:t>
      </w:r>
    </w:p>
    <w:p w:rsidR="00F65893" w:rsidRDefault="00F65893" w:rsidP="00712B4A">
      <w:pPr>
        <w:pStyle w:val="ConsPlusTitle"/>
        <w:contextualSpacing/>
        <w:jc w:val="center"/>
        <w:rPr>
          <w:szCs w:val="28"/>
        </w:rPr>
      </w:pPr>
    </w:p>
    <w:p w:rsidR="0038632B" w:rsidRDefault="00F65893" w:rsidP="0038632B">
      <w:pPr>
        <w:pStyle w:val="ConsPlusTitle"/>
        <w:contextualSpacing/>
        <w:rPr>
          <w:szCs w:val="28"/>
        </w:rPr>
      </w:pPr>
      <w:r>
        <w:rPr>
          <w:szCs w:val="28"/>
        </w:rPr>
        <w:t>23.10.2019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с.Варламово</w:t>
      </w:r>
      <w:r w:rsidR="0038632B">
        <w:rPr>
          <w:szCs w:val="28"/>
        </w:rPr>
        <w:tab/>
      </w:r>
      <w:r w:rsidR="0038632B">
        <w:rPr>
          <w:szCs w:val="28"/>
        </w:rPr>
        <w:tab/>
      </w:r>
      <w:r>
        <w:rPr>
          <w:szCs w:val="28"/>
        </w:rPr>
        <w:t xml:space="preserve">                             № 92</w:t>
      </w:r>
    </w:p>
    <w:p w:rsidR="0038632B" w:rsidRPr="004A0F8F" w:rsidRDefault="0038632B" w:rsidP="0038632B">
      <w:pPr>
        <w:pStyle w:val="ConsPlusTitle"/>
        <w:contextualSpacing/>
        <w:rPr>
          <w:szCs w:val="28"/>
        </w:rPr>
      </w:pPr>
    </w:p>
    <w:p w:rsidR="0038632B" w:rsidRPr="004A0F8F" w:rsidRDefault="0038632B" w:rsidP="0038632B">
      <w:pPr>
        <w:pStyle w:val="ConsPlusTitle"/>
        <w:contextualSpacing/>
        <w:jc w:val="center"/>
        <w:rPr>
          <w:szCs w:val="28"/>
        </w:rPr>
      </w:pPr>
      <w:r w:rsidRPr="004A0F8F">
        <w:rPr>
          <w:szCs w:val="28"/>
        </w:rPr>
        <w:t xml:space="preserve">Об утверждении Методики прогнозирования поступлений по источникам финансирования дефицита </w:t>
      </w:r>
      <w:r>
        <w:rPr>
          <w:szCs w:val="28"/>
        </w:rPr>
        <w:t xml:space="preserve">местного </w:t>
      </w:r>
      <w:r w:rsidRPr="004A0F8F">
        <w:rPr>
          <w:szCs w:val="28"/>
        </w:rPr>
        <w:t xml:space="preserve">бюджета </w:t>
      </w:r>
      <w:r w:rsidR="00712B4A">
        <w:rPr>
          <w:szCs w:val="28"/>
        </w:rPr>
        <w:t>Варламовского</w:t>
      </w:r>
      <w:r>
        <w:rPr>
          <w:szCs w:val="28"/>
        </w:rPr>
        <w:t xml:space="preserve"> сельсовета Болотнинского</w:t>
      </w:r>
      <w:r w:rsidRPr="004A0F8F">
        <w:rPr>
          <w:szCs w:val="28"/>
        </w:rPr>
        <w:t xml:space="preserve"> района</w:t>
      </w:r>
      <w:r w:rsidR="00712B4A">
        <w:rPr>
          <w:szCs w:val="28"/>
        </w:rPr>
        <w:t xml:space="preserve"> </w:t>
      </w:r>
      <w:r>
        <w:rPr>
          <w:szCs w:val="28"/>
        </w:rPr>
        <w:t>Новосибирской области</w:t>
      </w:r>
    </w:p>
    <w:p w:rsidR="0038632B" w:rsidRPr="004A0F8F" w:rsidRDefault="0038632B" w:rsidP="0038632B">
      <w:pPr>
        <w:pStyle w:val="ConsPlusNormal"/>
        <w:contextualSpacing/>
        <w:jc w:val="both"/>
        <w:rPr>
          <w:szCs w:val="28"/>
        </w:rPr>
      </w:pPr>
    </w:p>
    <w:p w:rsidR="0038632B" w:rsidRPr="004A0F8F" w:rsidRDefault="0038632B" w:rsidP="0038632B">
      <w:pPr>
        <w:pStyle w:val="ConsPlusNormal"/>
        <w:contextualSpacing/>
        <w:jc w:val="both"/>
        <w:rPr>
          <w:szCs w:val="28"/>
        </w:rPr>
      </w:pPr>
    </w:p>
    <w:p w:rsidR="0038632B" w:rsidRDefault="0038632B" w:rsidP="0038632B">
      <w:pPr>
        <w:pStyle w:val="ConsPlusNormal"/>
        <w:ind w:firstLine="540"/>
        <w:contextualSpacing/>
        <w:jc w:val="both"/>
        <w:rPr>
          <w:szCs w:val="28"/>
        </w:rPr>
      </w:pPr>
      <w:r w:rsidRPr="004A0F8F">
        <w:rPr>
          <w:szCs w:val="28"/>
        </w:rPr>
        <w:t xml:space="preserve">В соответствии с </w:t>
      </w:r>
      <w:hyperlink r:id="rId5" w:history="1">
        <w:r w:rsidRPr="004A0F8F">
          <w:rPr>
            <w:rStyle w:val="a3"/>
            <w:color w:val="auto"/>
            <w:szCs w:val="28"/>
            <w:u w:val="none"/>
          </w:rPr>
          <w:t>пунктом 1 статьи 160.2</w:t>
        </w:r>
      </w:hyperlink>
      <w:r w:rsidRPr="004A0F8F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 xml:space="preserve"> и пунктом 3 постановления Правительства Российской Федерации от 26 мая № 469 «Об общих требованиях к методике прогнозирования поступлений по источникам финансирования дефицита бюджета»</w:t>
      </w:r>
      <w:r w:rsidRPr="004A0F8F">
        <w:rPr>
          <w:szCs w:val="28"/>
        </w:rPr>
        <w:t xml:space="preserve">, </w:t>
      </w:r>
      <w:r>
        <w:rPr>
          <w:szCs w:val="28"/>
        </w:rPr>
        <w:t xml:space="preserve">администрации </w:t>
      </w:r>
      <w:r w:rsidR="00712B4A">
        <w:rPr>
          <w:szCs w:val="28"/>
        </w:rPr>
        <w:t>Варламовского</w:t>
      </w:r>
      <w:r>
        <w:rPr>
          <w:szCs w:val="28"/>
        </w:rPr>
        <w:t xml:space="preserve">  сельсовета</w:t>
      </w:r>
      <w:r w:rsidR="00712B4A">
        <w:rPr>
          <w:szCs w:val="28"/>
        </w:rPr>
        <w:t xml:space="preserve"> </w:t>
      </w:r>
      <w:r>
        <w:rPr>
          <w:szCs w:val="28"/>
        </w:rPr>
        <w:t>Болотнинского  района Новосибирской области</w:t>
      </w:r>
    </w:p>
    <w:p w:rsidR="0038632B" w:rsidRDefault="00712B4A" w:rsidP="00712B4A">
      <w:pPr>
        <w:pStyle w:val="ConsPlusNormal"/>
        <w:contextualSpacing/>
        <w:jc w:val="both"/>
        <w:rPr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</w:t>
      </w:r>
      <w:r w:rsidR="0038632B">
        <w:rPr>
          <w:szCs w:val="28"/>
        </w:rPr>
        <w:t>:</w:t>
      </w:r>
    </w:p>
    <w:p w:rsidR="00712B4A" w:rsidRDefault="00712B4A" w:rsidP="00712B4A">
      <w:pPr>
        <w:pStyle w:val="ConsPlusNormal"/>
        <w:contextualSpacing/>
        <w:jc w:val="both"/>
        <w:rPr>
          <w:szCs w:val="28"/>
        </w:rPr>
      </w:pPr>
    </w:p>
    <w:p w:rsidR="0038632B" w:rsidRDefault="0038632B" w:rsidP="00712B4A">
      <w:pPr>
        <w:pStyle w:val="ConsPlusNormal"/>
        <w:numPr>
          <w:ilvl w:val="0"/>
          <w:numId w:val="4"/>
        </w:numPr>
        <w:contextualSpacing/>
        <w:jc w:val="both"/>
        <w:rPr>
          <w:szCs w:val="28"/>
        </w:rPr>
      </w:pPr>
      <w:r w:rsidRPr="004A0F8F">
        <w:rPr>
          <w:szCs w:val="28"/>
        </w:rPr>
        <w:t xml:space="preserve">Утвердить прилагаемую Методику прогнозирования поступлений по источникам финансирования дефицита </w:t>
      </w:r>
      <w:r>
        <w:rPr>
          <w:szCs w:val="28"/>
        </w:rPr>
        <w:t xml:space="preserve">местного </w:t>
      </w:r>
      <w:r w:rsidRPr="004A0F8F">
        <w:rPr>
          <w:szCs w:val="28"/>
        </w:rPr>
        <w:t xml:space="preserve">бюджета </w:t>
      </w:r>
      <w:r w:rsidR="00712B4A">
        <w:rPr>
          <w:szCs w:val="28"/>
        </w:rPr>
        <w:t>Варламовского</w:t>
      </w:r>
      <w:r>
        <w:rPr>
          <w:szCs w:val="28"/>
        </w:rPr>
        <w:t xml:space="preserve"> сельсовета  Болотнинского</w:t>
      </w:r>
      <w:r w:rsidRPr="004A0F8F">
        <w:rPr>
          <w:szCs w:val="28"/>
        </w:rPr>
        <w:t xml:space="preserve"> района </w:t>
      </w:r>
      <w:r>
        <w:rPr>
          <w:szCs w:val="28"/>
        </w:rPr>
        <w:t>Новосибирской области</w:t>
      </w:r>
      <w:r w:rsidRPr="004A0F8F">
        <w:rPr>
          <w:szCs w:val="28"/>
        </w:rPr>
        <w:t>.</w:t>
      </w:r>
    </w:p>
    <w:p w:rsidR="0038632B" w:rsidRPr="00712B4A" w:rsidRDefault="0038632B" w:rsidP="00712B4A">
      <w:pPr>
        <w:pStyle w:val="ConsPlusNormal"/>
        <w:numPr>
          <w:ilvl w:val="0"/>
          <w:numId w:val="4"/>
        </w:numPr>
        <w:contextualSpacing/>
        <w:jc w:val="both"/>
        <w:rPr>
          <w:szCs w:val="28"/>
        </w:rPr>
      </w:pPr>
      <w:bookmarkStart w:id="0" w:name="P12"/>
      <w:bookmarkEnd w:id="0"/>
      <w:proofErr w:type="gramStart"/>
      <w:r w:rsidRPr="00712B4A">
        <w:rPr>
          <w:szCs w:val="28"/>
        </w:rPr>
        <w:t>Контроль за</w:t>
      </w:r>
      <w:proofErr w:type="gramEnd"/>
      <w:r w:rsidRPr="00712B4A">
        <w:rPr>
          <w:szCs w:val="28"/>
        </w:rPr>
        <w:t xml:space="preserve"> исполнением постановления оставляю за собой. </w:t>
      </w:r>
    </w:p>
    <w:p w:rsidR="0038632B" w:rsidRPr="004A0F8F" w:rsidRDefault="0038632B" w:rsidP="0038632B">
      <w:pPr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38632B" w:rsidRPr="004A0F8F" w:rsidRDefault="0038632B" w:rsidP="0038632B">
      <w:pPr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38632B" w:rsidRDefault="0038632B" w:rsidP="0038632B">
      <w:pPr>
        <w:autoSpaceDE w:val="0"/>
        <w:contextualSpacing/>
        <w:rPr>
          <w:rFonts w:eastAsia="Calibri"/>
          <w:sz w:val="28"/>
          <w:szCs w:val="28"/>
          <w:lang w:eastAsia="ar-SA"/>
        </w:rPr>
      </w:pPr>
      <w:r w:rsidRPr="004A0F8F">
        <w:rPr>
          <w:rFonts w:eastAsia="Calibri"/>
          <w:sz w:val="28"/>
          <w:szCs w:val="28"/>
          <w:lang w:eastAsia="ar-SA"/>
        </w:rPr>
        <w:t>Глава</w:t>
      </w:r>
      <w:r w:rsidR="00712B4A">
        <w:rPr>
          <w:rFonts w:eastAsia="Calibri"/>
          <w:sz w:val="28"/>
          <w:szCs w:val="28"/>
          <w:lang w:eastAsia="ar-SA"/>
        </w:rPr>
        <w:t xml:space="preserve"> Варламовского</w:t>
      </w:r>
      <w:r>
        <w:rPr>
          <w:rFonts w:eastAsia="Calibri"/>
          <w:sz w:val="28"/>
          <w:szCs w:val="28"/>
          <w:lang w:eastAsia="ar-SA"/>
        </w:rPr>
        <w:t xml:space="preserve"> сельсовета </w:t>
      </w:r>
    </w:p>
    <w:p w:rsidR="0038632B" w:rsidRPr="004A0F8F" w:rsidRDefault="0038632B" w:rsidP="0038632B">
      <w:pPr>
        <w:autoSpaceDE w:val="0"/>
        <w:contextualSpacing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Болотнинского</w:t>
      </w:r>
      <w:r w:rsidRPr="004A0F8F">
        <w:rPr>
          <w:rFonts w:eastAsia="Calibri"/>
          <w:sz w:val="28"/>
          <w:szCs w:val="28"/>
          <w:lang w:eastAsia="ar-SA"/>
        </w:rPr>
        <w:t xml:space="preserve"> района</w:t>
      </w:r>
    </w:p>
    <w:p w:rsidR="0038632B" w:rsidRPr="004A0F8F" w:rsidRDefault="0038632B" w:rsidP="0038632B">
      <w:pPr>
        <w:autoSpaceDE w:val="0"/>
        <w:contextualSpacing/>
        <w:rPr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Новосибирской </w:t>
      </w:r>
      <w:r w:rsidRPr="004A0F8F">
        <w:rPr>
          <w:rFonts w:eastAsia="Calibri"/>
          <w:sz w:val="28"/>
          <w:szCs w:val="28"/>
          <w:lang w:eastAsia="ar-SA"/>
        </w:rPr>
        <w:t xml:space="preserve">области                                                </w:t>
      </w:r>
      <w:r w:rsidR="00712B4A">
        <w:rPr>
          <w:rFonts w:eastAsia="Calibri"/>
          <w:sz w:val="28"/>
          <w:szCs w:val="28"/>
          <w:lang w:eastAsia="ar-SA"/>
        </w:rPr>
        <w:t xml:space="preserve">                </w:t>
      </w:r>
      <w:r w:rsidR="00712B4A">
        <w:rPr>
          <w:sz w:val="28"/>
          <w:szCs w:val="28"/>
        </w:rPr>
        <w:t>А.В.Приболовец</w:t>
      </w:r>
    </w:p>
    <w:p w:rsidR="0038632B" w:rsidRPr="004A0F8F" w:rsidRDefault="0038632B" w:rsidP="0038632B">
      <w:pPr>
        <w:pStyle w:val="ConsPlusNormal"/>
        <w:contextualSpacing/>
        <w:rPr>
          <w:szCs w:val="28"/>
        </w:rPr>
      </w:pPr>
    </w:p>
    <w:p w:rsidR="0038632B" w:rsidRPr="004A0F8F" w:rsidRDefault="0038632B" w:rsidP="0038632B">
      <w:pPr>
        <w:pStyle w:val="ConsPlusNormal"/>
        <w:contextualSpacing/>
        <w:rPr>
          <w:szCs w:val="28"/>
        </w:rPr>
      </w:pPr>
    </w:p>
    <w:p w:rsidR="0038632B" w:rsidRPr="004A0F8F" w:rsidRDefault="0038632B" w:rsidP="0038632B">
      <w:pPr>
        <w:pStyle w:val="ConsPlusNormal"/>
        <w:contextualSpacing/>
        <w:rPr>
          <w:szCs w:val="28"/>
        </w:rPr>
      </w:pPr>
    </w:p>
    <w:p w:rsidR="0038632B" w:rsidRDefault="0038632B" w:rsidP="0038632B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F65893" w:rsidRDefault="00F65893" w:rsidP="00F65893">
      <w:pPr>
        <w:spacing w:before="100" w:beforeAutospacing="1"/>
        <w:rPr>
          <w:color w:val="000000"/>
          <w:sz w:val="28"/>
          <w:szCs w:val="28"/>
        </w:rPr>
      </w:pPr>
    </w:p>
    <w:p w:rsidR="0038632B" w:rsidRDefault="0038632B" w:rsidP="00F65893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38632B" w:rsidRDefault="0038632B" w:rsidP="0038632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8632B" w:rsidRDefault="00712B4A" w:rsidP="0038632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</w:t>
      </w:r>
      <w:r w:rsidR="0038632B">
        <w:rPr>
          <w:color w:val="000000"/>
          <w:sz w:val="28"/>
          <w:szCs w:val="28"/>
        </w:rPr>
        <w:t xml:space="preserve">  сельсовета</w:t>
      </w:r>
    </w:p>
    <w:p w:rsidR="0038632B" w:rsidRDefault="0038632B" w:rsidP="0038632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 района</w:t>
      </w:r>
    </w:p>
    <w:p w:rsidR="0038632B" w:rsidRDefault="0038632B" w:rsidP="0038632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38632B" w:rsidRDefault="00F65893" w:rsidP="00712B4A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8632B">
        <w:rPr>
          <w:color w:val="000000"/>
          <w:sz w:val="28"/>
          <w:szCs w:val="28"/>
        </w:rPr>
        <w:t>т</w:t>
      </w:r>
      <w:r w:rsidR="00ED15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23.10.2019</w:t>
      </w:r>
      <w:r w:rsidR="0038632B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92</w:t>
      </w:r>
      <w:r w:rsidR="0038632B">
        <w:rPr>
          <w:color w:val="000000"/>
          <w:sz w:val="28"/>
          <w:szCs w:val="28"/>
        </w:rPr>
        <w:t>  </w:t>
      </w:r>
    </w:p>
    <w:p w:rsidR="00712B4A" w:rsidRDefault="00712B4A" w:rsidP="00712B4A">
      <w:pPr>
        <w:spacing w:before="100" w:beforeAutospacing="1"/>
        <w:contextualSpacing/>
        <w:jc w:val="center"/>
        <w:rPr>
          <w:b/>
          <w:bCs/>
          <w:color w:val="000000"/>
          <w:sz w:val="28"/>
          <w:szCs w:val="28"/>
        </w:rPr>
      </w:pPr>
    </w:p>
    <w:p w:rsidR="0038632B" w:rsidRDefault="0038632B" w:rsidP="00712B4A">
      <w:pPr>
        <w:spacing w:before="100" w:beforeAutospacing="1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</w:p>
    <w:p w:rsidR="0038632B" w:rsidRDefault="0038632B" w:rsidP="00712B4A">
      <w:pPr>
        <w:spacing w:before="100" w:beforeAutospacing="1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прогнозирования поступлений по источникам финансирования </w:t>
      </w:r>
      <w:r>
        <w:rPr>
          <w:b/>
          <w:bCs/>
          <w:color w:val="000000"/>
          <w:sz w:val="28"/>
          <w:szCs w:val="28"/>
        </w:rPr>
        <w:br/>
        <w:t xml:space="preserve">дефицита местного бюджета  </w:t>
      </w:r>
      <w:r w:rsidR="00712B4A">
        <w:rPr>
          <w:b/>
          <w:bCs/>
          <w:color w:val="000000"/>
          <w:sz w:val="28"/>
          <w:szCs w:val="28"/>
        </w:rPr>
        <w:t>Варламовского</w:t>
      </w:r>
      <w:r>
        <w:rPr>
          <w:b/>
          <w:bCs/>
          <w:color w:val="000000"/>
          <w:sz w:val="28"/>
          <w:szCs w:val="28"/>
        </w:rPr>
        <w:t xml:space="preserve">  сельсовета Болотнинского района Новосибирской области</w:t>
      </w:r>
    </w:p>
    <w:p w:rsidR="0038632B" w:rsidRDefault="0038632B" w:rsidP="0038632B">
      <w:pPr>
        <w:pStyle w:val="a4"/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8632B" w:rsidRDefault="0038632B" w:rsidP="0038632B">
      <w:pPr>
        <w:pStyle w:val="a4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632B" w:rsidRDefault="0038632B" w:rsidP="0038632B">
      <w:pPr>
        <w:spacing w:line="272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Настоящая Методика прогнозирования поступлений по источникам финансирования дефицита местного бюджета 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 сельсовета  Болотнинского района Новосибирской области (далее - Методика)  устанавливает порядок расчета возможного привлечения долговых обязательств с учетом ограничений долговой нагрузки на местный бюджет 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 сельсовета Болотнинского района Новосибирской области (далее – местный бюджет),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</w:t>
      </w:r>
      <w:proofErr w:type="gramEnd"/>
      <w:r>
        <w:rPr>
          <w:color w:val="000000"/>
          <w:sz w:val="28"/>
          <w:szCs w:val="28"/>
        </w:rPr>
        <w:t xml:space="preserve"> источникам финансирования дефицита местного бюджета, главным администратором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является администрация</w:t>
      </w:r>
      <w:r w:rsidR="00712B4A">
        <w:rPr>
          <w:color w:val="000000"/>
          <w:sz w:val="28"/>
          <w:szCs w:val="28"/>
        </w:rPr>
        <w:t xml:space="preserve"> 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534109">
        <w:rPr>
          <w:color w:val="000000"/>
          <w:sz w:val="28"/>
          <w:szCs w:val="28"/>
        </w:rPr>
        <w:t>Болотнинског</w:t>
      </w:r>
      <w:r>
        <w:rPr>
          <w:color w:val="000000"/>
          <w:sz w:val="28"/>
          <w:szCs w:val="28"/>
        </w:rPr>
        <w:t>о района Новосибирской области.</w:t>
      </w:r>
    </w:p>
    <w:p w:rsidR="0038632B" w:rsidRDefault="0038632B" w:rsidP="0038632B">
      <w:pPr>
        <w:spacing w:line="272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Методика направлена на обеспечение сбалансированности местного бюджета  и основана на принципах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объемом муниципального долга </w:t>
      </w:r>
      <w:r w:rsidR="00712B4A">
        <w:rPr>
          <w:color w:val="000000"/>
          <w:sz w:val="28"/>
          <w:szCs w:val="28"/>
        </w:rPr>
        <w:t xml:space="preserve">Варламовского </w:t>
      </w:r>
      <w:r>
        <w:rPr>
          <w:color w:val="000000"/>
          <w:sz w:val="28"/>
          <w:szCs w:val="28"/>
        </w:rPr>
        <w:t xml:space="preserve">сельсовета </w:t>
      </w:r>
      <w:r w:rsidR="00534109">
        <w:rPr>
          <w:color w:val="000000"/>
          <w:sz w:val="28"/>
          <w:szCs w:val="28"/>
        </w:rPr>
        <w:t>Болотнинск</w:t>
      </w:r>
      <w:r>
        <w:rPr>
          <w:color w:val="000000"/>
          <w:sz w:val="28"/>
          <w:szCs w:val="28"/>
        </w:rPr>
        <w:t>ого района Новосибирской области и недопущения необоснованных заимствований. </w:t>
      </w:r>
    </w:p>
    <w:p w:rsidR="0038632B" w:rsidRDefault="0038632B" w:rsidP="0038632B">
      <w:pPr>
        <w:spacing w:before="100" w:before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Перечень источников финансирования дефицита местного бюджета, используемый для прогнозирования поступлений в местный бюджет </w:t>
      </w:r>
    </w:p>
    <w:p w:rsidR="0038632B" w:rsidRDefault="0038632B" w:rsidP="0038632B">
      <w:pPr>
        <w:spacing w:before="100" w:beforeAutospacing="1"/>
        <w:jc w:val="center"/>
        <w:rPr>
          <w:b/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источников финансирования дефицита местного бюджета, главным администратором которых является администрация </w:t>
      </w:r>
      <w:r w:rsidR="00712B4A">
        <w:rPr>
          <w:color w:val="000000"/>
          <w:sz w:val="28"/>
          <w:szCs w:val="28"/>
        </w:rPr>
        <w:t>Варламовского</w:t>
      </w:r>
      <w:r w:rsidR="00534109">
        <w:rPr>
          <w:color w:val="000000"/>
          <w:sz w:val="28"/>
          <w:szCs w:val="28"/>
        </w:rPr>
        <w:t xml:space="preserve"> сельсовета Болотнинского</w:t>
      </w:r>
      <w:r>
        <w:rPr>
          <w:color w:val="000000"/>
          <w:sz w:val="28"/>
          <w:szCs w:val="28"/>
        </w:rPr>
        <w:t xml:space="preserve"> района Новосибирской области, используемый для прогнозирования поступлений в местный бюджет, приведён в таблице 1.</w:t>
      </w:r>
    </w:p>
    <w:p w:rsidR="0038632B" w:rsidRDefault="0038632B" w:rsidP="00712B4A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38632B" w:rsidRDefault="0038632B" w:rsidP="0038632B">
      <w:pPr>
        <w:spacing w:line="272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Настоящая Методика прогнозирования поступлений по источникам финансирования дефицита местного бюджета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534109">
        <w:rPr>
          <w:color w:val="000000"/>
          <w:sz w:val="28"/>
          <w:szCs w:val="28"/>
        </w:rPr>
        <w:t>Болотнинского</w:t>
      </w:r>
      <w:r w:rsidR="00712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 (да</w:t>
      </w:r>
      <w:r w:rsidR="00534109">
        <w:rPr>
          <w:color w:val="000000"/>
          <w:sz w:val="28"/>
          <w:szCs w:val="28"/>
        </w:rPr>
        <w:t>лее - Методика)  устанавливает п</w:t>
      </w:r>
      <w:r>
        <w:rPr>
          <w:color w:val="000000"/>
          <w:sz w:val="28"/>
          <w:szCs w:val="28"/>
        </w:rPr>
        <w:t xml:space="preserve">орядок расчета возможного привлечения долговых обязательств с учетом ограничений долговой нагрузки на местный бюджет </w:t>
      </w:r>
      <w:r w:rsidR="00712B4A">
        <w:rPr>
          <w:color w:val="000000"/>
          <w:sz w:val="28"/>
          <w:szCs w:val="28"/>
        </w:rPr>
        <w:lastRenderedPageBreak/>
        <w:t>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534109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 (далее – местный бюджет),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</w:t>
      </w:r>
      <w:proofErr w:type="gramEnd"/>
      <w:r>
        <w:rPr>
          <w:color w:val="000000"/>
          <w:sz w:val="28"/>
          <w:szCs w:val="28"/>
        </w:rPr>
        <w:t xml:space="preserve"> источникам финансирования дефицита местного бюджета, главным администратором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является администрация </w:t>
      </w:r>
      <w:r w:rsidR="00712B4A">
        <w:rPr>
          <w:color w:val="000000"/>
          <w:sz w:val="28"/>
          <w:szCs w:val="28"/>
        </w:rPr>
        <w:t xml:space="preserve">Варламовского </w:t>
      </w:r>
      <w:r>
        <w:rPr>
          <w:color w:val="000000"/>
          <w:sz w:val="28"/>
          <w:szCs w:val="28"/>
        </w:rPr>
        <w:t>сельсовета</w:t>
      </w:r>
      <w:r w:rsidR="00712B4A">
        <w:rPr>
          <w:color w:val="000000"/>
          <w:sz w:val="28"/>
          <w:szCs w:val="28"/>
        </w:rPr>
        <w:t xml:space="preserve"> </w:t>
      </w:r>
      <w:r w:rsidR="00534109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38632B" w:rsidRPr="00712B4A" w:rsidRDefault="0038632B" w:rsidP="00712B4A">
      <w:pPr>
        <w:spacing w:line="272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Методика направлена на обеспечение сбалансированности местного бюджета  и основана на принципах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объемом муниципального долга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534109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 и недопущения необоснованных заимствований. </w:t>
      </w:r>
    </w:p>
    <w:p w:rsidR="00534109" w:rsidRDefault="00534109" w:rsidP="00534109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 w:after="100" w:afterAutospacing="1" w:line="233" w:lineRule="atLeast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A303EA" w:rsidRDefault="00A303EA" w:rsidP="0038632B">
      <w:pPr>
        <w:spacing w:before="100" w:beforeAutospacing="1" w:after="100" w:afterAutospacing="1" w:line="233" w:lineRule="atLeast"/>
        <w:ind w:firstLine="709"/>
        <w:contextualSpacing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39"/>
        <w:gridCol w:w="6206"/>
      </w:tblGrid>
      <w:tr w:rsidR="00A303EA" w:rsidRPr="00A303EA" w:rsidTr="00A303EA">
        <w:trPr>
          <w:trHeight w:val="1392"/>
        </w:trPr>
        <w:tc>
          <w:tcPr>
            <w:tcW w:w="3139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A303EA" w:rsidRPr="00A303EA" w:rsidTr="00A303EA">
        <w:trPr>
          <w:trHeight w:val="540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01 0000 00 00 0000 000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303EA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</w:t>
            </w:r>
            <w:r w:rsidR="00712B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303E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A303EA" w:rsidRPr="00A303EA" w:rsidTr="00A303EA">
        <w:trPr>
          <w:trHeight w:val="720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01 02 00 00 00 0000 000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303EA">
              <w:rPr>
                <w:b/>
                <w:bCs/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</w:tr>
      <w:tr w:rsidR="00A303EA" w:rsidRPr="00A303EA" w:rsidTr="00A303EA">
        <w:trPr>
          <w:trHeight w:val="615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01 02 00 00000 000 700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303EA" w:rsidRPr="00A303EA" w:rsidTr="00A303EA">
        <w:trPr>
          <w:trHeight w:val="945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01 02 00 00000 000 710 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Получение кредитов от кредитных организаций бюджетом поселений в валюте Российской Федерации</w:t>
            </w:r>
          </w:p>
        </w:tc>
      </w:tr>
      <w:tr w:rsidR="00A303EA" w:rsidRPr="00A303EA" w:rsidTr="00A303EA">
        <w:trPr>
          <w:trHeight w:val="960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01 03 00 00 00 0000 000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303EA"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303EA" w:rsidRPr="00A303EA" w:rsidTr="00A303EA">
        <w:trPr>
          <w:trHeight w:val="945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01 03 00 00 00 0000 700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03EA" w:rsidRPr="00A303EA" w:rsidTr="00A303EA">
        <w:trPr>
          <w:trHeight w:val="1035"/>
        </w:trPr>
        <w:tc>
          <w:tcPr>
            <w:tcW w:w="3139" w:type="dxa"/>
            <w:hideMark/>
          </w:tcPr>
          <w:p w:rsidR="00A303EA" w:rsidRPr="00A303EA" w:rsidRDefault="00451ED3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  <w:r w:rsidR="00A303EA" w:rsidRPr="00A303EA">
              <w:rPr>
                <w:color w:val="000000"/>
                <w:sz w:val="28"/>
                <w:szCs w:val="28"/>
              </w:rPr>
              <w:t xml:space="preserve"> 01 03 00 00 05 0000 710</w:t>
            </w:r>
          </w:p>
        </w:tc>
        <w:tc>
          <w:tcPr>
            <w:tcW w:w="6206" w:type="dxa"/>
            <w:hideMark/>
          </w:tcPr>
          <w:p w:rsidR="00A303EA" w:rsidRPr="00A303EA" w:rsidRDefault="00A303EA" w:rsidP="00A303EA">
            <w:pPr>
              <w:spacing w:before="100" w:beforeAutospacing="1" w:after="100" w:afterAutospacing="1" w:line="233" w:lineRule="atLeast"/>
              <w:ind w:firstLine="709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A303EA">
              <w:rPr>
                <w:color w:val="000000"/>
                <w:sz w:val="28"/>
                <w:szCs w:val="28"/>
              </w:rPr>
              <w:t>Получение бюджетных кредитов  от других бюджетов бюджетной системы Российской Федерации  бюджетами поселений</w:t>
            </w:r>
          </w:p>
        </w:tc>
      </w:tr>
    </w:tbl>
    <w:p w:rsidR="00534109" w:rsidRDefault="00534109" w:rsidP="00712B4A">
      <w:pPr>
        <w:spacing w:before="100" w:beforeAutospacing="1" w:after="100" w:afterAutospacing="1" w:line="233" w:lineRule="atLeast"/>
        <w:contextualSpacing/>
        <w:rPr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Расчёт прогнозного объёма поступлений по источнику финансирования дефицита местного бюджета «Получение кредитов от кредитных организаций бюджетами сельских поселений в валюте Российской Федерации»</w:t>
      </w:r>
    </w:p>
    <w:p w:rsidR="0038632B" w:rsidRDefault="0038632B" w:rsidP="0038632B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3.1.  </w:t>
      </w:r>
      <w:proofErr w:type="gramStart"/>
      <w:r>
        <w:rPr>
          <w:color w:val="000000"/>
          <w:sz w:val="28"/>
          <w:szCs w:val="28"/>
        </w:rPr>
        <w:t xml:space="preserve">Прогнозирование поступлений по источнику финансирования дефицита  местного бюджета «Получение кредитов от кредитных организаций бюджетами сельских поселений в валюте Российской Федерации» осуществляется исходя из прогнозируемого дефицита  местного бюджета, необходимости </w:t>
      </w:r>
      <w:r w:rsidR="00A303EA">
        <w:rPr>
          <w:color w:val="000000"/>
          <w:sz w:val="28"/>
          <w:szCs w:val="28"/>
        </w:rPr>
        <w:t xml:space="preserve">погашения долговых обязательств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A303EA">
        <w:rPr>
          <w:color w:val="000000"/>
          <w:sz w:val="28"/>
          <w:szCs w:val="28"/>
        </w:rPr>
        <w:t>Болотнинского</w:t>
      </w:r>
      <w:r w:rsidR="00712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 в соответствующем финансовом году с учётом поступлений источников финансирования дефицита  местного бюджета, несвязанных с заимствованиями в местный бюджет.</w:t>
      </w:r>
      <w:proofErr w:type="gramEnd"/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прогнозировании привлечения кредитов от кредитных организаций:</w:t>
      </w:r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принимаются меры по равномерному распределению долговой нагрузки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 </w:t>
      </w:r>
      <w:r w:rsidR="00A303EA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 по годам;</w:t>
      </w:r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учитывается необходимость полного и своевременного исполнения долговых обязательств </w:t>
      </w:r>
      <w:r w:rsidR="00712B4A">
        <w:rPr>
          <w:color w:val="000000"/>
          <w:sz w:val="28"/>
          <w:szCs w:val="28"/>
        </w:rPr>
        <w:t>Варламовского</w:t>
      </w:r>
      <w:r w:rsidR="00A303EA">
        <w:rPr>
          <w:color w:val="000000"/>
          <w:sz w:val="28"/>
          <w:szCs w:val="28"/>
        </w:rPr>
        <w:t xml:space="preserve"> сельсовета</w:t>
      </w:r>
      <w:r w:rsidR="00712B4A">
        <w:rPr>
          <w:color w:val="000000"/>
          <w:sz w:val="28"/>
          <w:szCs w:val="28"/>
        </w:rPr>
        <w:t xml:space="preserve"> </w:t>
      </w:r>
      <w:r w:rsidR="00A303EA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 учитывается необходимость выполнения условий договоров</w:t>
      </w:r>
      <w:r>
        <w:rPr>
          <w:color w:val="000000"/>
          <w:sz w:val="28"/>
          <w:szCs w:val="28"/>
        </w:rPr>
        <w:br/>
        <w:t>о предоставлении из областного бюджета</w:t>
      </w:r>
      <w:r w:rsidR="00A303EA">
        <w:rPr>
          <w:color w:val="000000"/>
          <w:sz w:val="28"/>
          <w:szCs w:val="28"/>
        </w:rPr>
        <w:t xml:space="preserve">, местного бюджета </w:t>
      </w:r>
      <w:r w:rsidR="00712B4A">
        <w:rPr>
          <w:color w:val="000000"/>
          <w:sz w:val="28"/>
          <w:szCs w:val="28"/>
        </w:rPr>
        <w:t>Варламовского</w:t>
      </w:r>
      <w:r w:rsidR="00A303EA">
        <w:rPr>
          <w:color w:val="000000"/>
          <w:sz w:val="28"/>
          <w:szCs w:val="28"/>
        </w:rPr>
        <w:t xml:space="preserve"> сельсовета Болотнинского</w:t>
      </w:r>
      <w:r w:rsidR="00712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 местному бюджету поселения бюджетных кредитов, в том числе поэтапное сокращение доли общего объёма долговых обязательств поселения по кредитам от кредитных организаций от суммы доходов местного бюджета поселения без учёта безвозмездных поступлений, а также необходимость обеспечения дефицита местного бюджета на уровне, установленном</w:t>
      </w:r>
      <w:proofErr w:type="gramEnd"/>
      <w:r>
        <w:rPr>
          <w:color w:val="000000"/>
          <w:sz w:val="28"/>
          <w:szCs w:val="28"/>
        </w:rPr>
        <w:t xml:space="preserve"> вышеуказанными договорами.</w:t>
      </w:r>
    </w:p>
    <w:p w:rsidR="0038632B" w:rsidRDefault="0038632B" w:rsidP="0038632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 Расчёт прогнозного объёма поступлений по источнику финансирования дефицита местного бюджета «Получение кредитов от кредитных организаций бюджетами сельских поселений в валюте Российской Федерации» осуществляется с использованием метода прямого счёта согласно следующей формуле:</w:t>
      </w:r>
    </w:p>
    <w:p w:rsidR="0038632B" w:rsidRDefault="0038632B" w:rsidP="0038632B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Пкр</w:t>
      </w:r>
      <w:proofErr w:type="spellEnd"/>
      <w:r>
        <w:rPr>
          <w:color w:val="000000"/>
          <w:sz w:val="28"/>
          <w:szCs w:val="28"/>
        </w:rPr>
        <w:t> = (З +Д) - О - И*К1,</w:t>
      </w:r>
    </w:p>
    <w:p w:rsidR="0038632B" w:rsidRDefault="0038632B" w:rsidP="0038632B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38632B" w:rsidRDefault="0038632B" w:rsidP="0038632B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Пкр</w:t>
      </w:r>
      <w:proofErr w:type="spellEnd"/>
      <w:r>
        <w:rPr>
          <w:color w:val="000000"/>
          <w:sz w:val="28"/>
          <w:szCs w:val="28"/>
        </w:rPr>
        <w:t> – прогнозный объём привлечения кредитов от кредитных организаций в местный бюджет в соответствующем финансовом году;</w:t>
      </w:r>
    </w:p>
    <w:p w:rsidR="0038632B" w:rsidRDefault="0038632B" w:rsidP="0038632B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– долговые обязательства </w:t>
      </w:r>
      <w:r w:rsidR="00712B4A">
        <w:rPr>
          <w:color w:val="000000"/>
          <w:sz w:val="28"/>
          <w:szCs w:val="28"/>
        </w:rPr>
        <w:t>Варламовского</w:t>
      </w:r>
      <w:r>
        <w:rPr>
          <w:color w:val="000000"/>
          <w:sz w:val="28"/>
          <w:szCs w:val="28"/>
        </w:rPr>
        <w:t xml:space="preserve"> сельсовета</w:t>
      </w:r>
      <w:r w:rsidR="00712B4A">
        <w:rPr>
          <w:color w:val="000000"/>
          <w:sz w:val="28"/>
          <w:szCs w:val="28"/>
        </w:rPr>
        <w:t xml:space="preserve"> </w:t>
      </w:r>
      <w:r w:rsidR="00A303EA">
        <w:rPr>
          <w:color w:val="000000"/>
          <w:sz w:val="28"/>
          <w:szCs w:val="28"/>
        </w:rPr>
        <w:t>Болотнинского</w:t>
      </w:r>
      <w:r>
        <w:rPr>
          <w:color w:val="000000"/>
          <w:sz w:val="28"/>
          <w:szCs w:val="28"/>
        </w:rPr>
        <w:t xml:space="preserve"> района Новосибирской области по заимствованиям со сроком исполнения в соответствующем финансовом году;</w:t>
      </w:r>
    </w:p>
    <w:p w:rsidR="0038632B" w:rsidRDefault="0038632B" w:rsidP="0038632B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 – дефицит местного бюджета; </w:t>
      </w:r>
      <w:r>
        <w:rPr>
          <w:color w:val="000000"/>
          <w:sz w:val="28"/>
          <w:szCs w:val="28"/>
        </w:rPr>
        <w:br/>
        <w:t>в соответствующем финансовом году;</w:t>
      </w:r>
    </w:p>
    <w:p w:rsidR="0038632B" w:rsidRDefault="0038632B" w:rsidP="0038632B">
      <w:pPr>
        <w:pStyle w:val="ConsPlusNormal"/>
        <w:ind w:firstLine="540"/>
        <w:contextualSpacing/>
        <w:jc w:val="both"/>
        <w:rPr>
          <w:rFonts w:eastAsia="Times New Roman"/>
          <w:lang w:eastAsia="ru-RU"/>
        </w:rPr>
      </w:pPr>
      <w:r>
        <w:t xml:space="preserve">  О -  остатки средств местного бюджета на конец отчетного периода;</w:t>
      </w:r>
    </w:p>
    <w:p w:rsidR="0038632B" w:rsidRDefault="0038632B" w:rsidP="0038632B">
      <w:pPr>
        <w:pStyle w:val="ConsPlusNormal"/>
        <w:ind w:firstLine="540"/>
        <w:contextualSpacing/>
        <w:jc w:val="both"/>
      </w:pPr>
    </w:p>
    <w:p w:rsidR="0038632B" w:rsidRDefault="0038632B" w:rsidP="0038632B">
      <w:pPr>
        <w:pStyle w:val="ConsPlusNormal"/>
        <w:ind w:firstLine="540"/>
        <w:contextualSpacing/>
        <w:jc w:val="both"/>
      </w:pPr>
      <w:r>
        <w:t xml:space="preserve">  И – иные источники внутреннего финансирования дефицита местного бюджета;</w:t>
      </w:r>
    </w:p>
    <w:p w:rsidR="0038632B" w:rsidRDefault="0038632B" w:rsidP="0038632B">
      <w:pPr>
        <w:pStyle w:val="ConsPlusNormal"/>
        <w:ind w:firstLine="540"/>
        <w:contextualSpacing/>
        <w:jc w:val="both"/>
        <w:rPr>
          <w:color w:val="000000"/>
          <w:szCs w:val="28"/>
        </w:rPr>
      </w:pPr>
    </w:p>
    <w:p w:rsidR="0038632B" w:rsidRDefault="0038632B" w:rsidP="0038632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К1 – коэффициент, учитывающий покрытие дефицита за счет кредитов от кредитных организаций в соответствующем финансовом году, определяется с учетом одобренных постановлением администрации поселения основных направлений долговой политики поселения на соответствующий финансовый год.</w:t>
      </w:r>
    </w:p>
    <w:p w:rsidR="0038632B" w:rsidRDefault="0038632B" w:rsidP="0038632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 w:after="100" w:afterAutospacing="1"/>
        <w:ind w:firstLine="99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Расчёт прогнозного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</w:t>
      </w:r>
    </w:p>
    <w:p w:rsidR="0038632B" w:rsidRDefault="0038632B" w:rsidP="0038632B">
      <w:pPr>
        <w:spacing w:before="100" w:beforeAutospacing="1" w:after="100" w:afterAutospacing="1"/>
        <w:ind w:left="540"/>
        <w:contextualSpacing/>
        <w:rPr>
          <w:b/>
          <w:color w:val="000000"/>
          <w:sz w:val="28"/>
          <w:szCs w:val="28"/>
        </w:rPr>
      </w:pPr>
    </w:p>
    <w:p w:rsidR="0038632B" w:rsidRDefault="0038632B" w:rsidP="0038632B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4.1. Планирование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только в случае принятия Правительством Новосибирской области распоряжения о предоставлении бюджетного кредита и принятия администрацией </w:t>
      </w:r>
      <w:r w:rsidR="00A303EA">
        <w:rPr>
          <w:color w:val="000000"/>
          <w:sz w:val="28"/>
          <w:szCs w:val="28"/>
        </w:rPr>
        <w:t>Болотнинског</w:t>
      </w:r>
      <w:r>
        <w:rPr>
          <w:color w:val="000000"/>
          <w:sz w:val="28"/>
          <w:szCs w:val="28"/>
        </w:rPr>
        <w:t>о района Новосибирской области постановления о предоставлении бюджетного кредита.</w:t>
      </w:r>
    </w:p>
    <w:p w:rsidR="00BF7E26" w:rsidRDefault="0038632B" w:rsidP="00ED154E">
      <w:pPr>
        <w:spacing w:before="100" w:beforeAutospacing="1" w:after="100" w:afterAutospacing="1"/>
        <w:contextualSpacing/>
        <w:jc w:val="both"/>
      </w:pPr>
      <w:r>
        <w:rPr>
          <w:color w:val="000000"/>
          <w:sz w:val="28"/>
          <w:szCs w:val="28"/>
        </w:rPr>
        <w:t xml:space="preserve">          4.2. Расчёт прогнозного объёма поступлений по источнику финансирования дефицита местного бюджета 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с использованием метода прямого счёта в соответствии с заключенными договорами.</w:t>
      </w:r>
      <w:bookmarkStart w:id="1" w:name="_GoBack"/>
      <w:bookmarkEnd w:id="1"/>
    </w:p>
    <w:sectPr w:rsidR="00BF7E26" w:rsidSect="00C6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2028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A742EE"/>
    <w:multiLevelType w:val="hybridMultilevel"/>
    <w:tmpl w:val="B686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82"/>
    <w:rsid w:val="001B1582"/>
    <w:rsid w:val="0038632B"/>
    <w:rsid w:val="00451ED3"/>
    <w:rsid w:val="00534109"/>
    <w:rsid w:val="00712B4A"/>
    <w:rsid w:val="00A303EA"/>
    <w:rsid w:val="00BC3DE0"/>
    <w:rsid w:val="00BF7E26"/>
    <w:rsid w:val="00C609C5"/>
    <w:rsid w:val="00C656DA"/>
    <w:rsid w:val="00ED154E"/>
    <w:rsid w:val="00F6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632B"/>
    <w:rPr>
      <w:color w:val="0000FF"/>
      <w:u w:val="single"/>
    </w:rPr>
  </w:style>
  <w:style w:type="paragraph" w:customStyle="1" w:styleId="ConsPlusNormal">
    <w:name w:val="ConsPlusNormal"/>
    <w:rsid w:val="0038632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38632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386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A3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15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5C4DD1016816048D2EDD9D6460F12FFAC807E6F53268C6E957CF399DC699FEAF68AC7FDF00o6M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2019-10-23T02:47:00Z</cp:lastPrinted>
  <dcterms:created xsi:type="dcterms:W3CDTF">2019-06-24T12:28:00Z</dcterms:created>
  <dcterms:modified xsi:type="dcterms:W3CDTF">2019-10-23T02:48:00Z</dcterms:modified>
</cp:coreProperties>
</file>