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DC" w:rsidRDefault="002F2714" w:rsidP="00491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C5">
        <w:rPr>
          <w:rFonts w:ascii="Times New Roman" w:hAnsi="Times New Roman" w:cs="Times New Roman"/>
          <w:b/>
          <w:sz w:val="28"/>
          <w:szCs w:val="28"/>
        </w:rPr>
        <w:t>АДМ</w:t>
      </w:r>
      <w:bookmarkStart w:id="0" w:name="_GoBack"/>
      <w:bookmarkEnd w:id="0"/>
      <w:r w:rsidRPr="009231C5">
        <w:rPr>
          <w:rFonts w:ascii="Times New Roman" w:hAnsi="Times New Roman" w:cs="Times New Roman"/>
          <w:b/>
          <w:sz w:val="28"/>
          <w:szCs w:val="28"/>
        </w:rPr>
        <w:t xml:space="preserve">ИНИСТРАЦИЯ </w:t>
      </w:r>
      <w:r w:rsidR="006244F2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5F0D8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F2714" w:rsidRPr="009231C5" w:rsidRDefault="002F2714" w:rsidP="00D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C5">
        <w:rPr>
          <w:rFonts w:ascii="Times New Roman" w:hAnsi="Times New Roman" w:cs="Times New Roman"/>
          <w:b/>
          <w:sz w:val="28"/>
          <w:szCs w:val="28"/>
        </w:rPr>
        <w:t>БОЛОТНИНСКОГО РАЙОНАНОВОСИБИРСКОЙ ОБЛАСТИ</w:t>
      </w: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C5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 w:rsidRPr="009231C5">
        <w:rPr>
          <w:rFonts w:ascii="Times New Roman" w:hAnsi="Times New Roman" w:cs="Times New Roman"/>
          <w:b/>
          <w:sz w:val="28"/>
          <w:szCs w:val="28"/>
        </w:rPr>
        <w:br/>
      </w:r>
    </w:p>
    <w:p w:rsidR="002F2714" w:rsidRDefault="00491C93" w:rsidP="005F0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19.12</w:t>
      </w:r>
      <w:r w:rsidR="002F2714">
        <w:rPr>
          <w:rFonts w:ascii="Times New Roman" w:hAnsi="Times New Roman" w:cs="Times New Roman"/>
          <w:b/>
          <w:sz w:val="28"/>
          <w:szCs w:val="28"/>
        </w:rPr>
        <w:t>.2022</w:t>
      </w:r>
      <w:r w:rsidR="002F2714" w:rsidRPr="0092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2F2714" w:rsidRPr="009231C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90</w:t>
      </w: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>Об утверждении требований к закупаемым</w:t>
      </w:r>
      <w:r w:rsidR="006244F2">
        <w:rPr>
          <w:rFonts w:ascii="Times New Roman" w:hAnsi="Times New Roman" w:cs="Times New Roman"/>
          <w:sz w:val="28"/>
          <w:szCs w:val="28"/>
        </w:rPr>
        <w:t xml:space="preserve"> </w:t>
      </w:r>
      <w:r w:rsidRPr="009231C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244F2">
        <w:rPr>
          <w:rFonts w:ascii="Times New Roman" w:hAnsi="Times New Roman" w:cs="Times New Roman"/>
          <w:sz w:val="28"/>
          <w:szCs w:val="28"/>
        </w:rPr>
        <w:t>Варламовского</w:t>
      </w:r>
      <w:r w:rsidR="005F0D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31C5">
        <w:rPr>
          <w:rFonts w:ascii="Times New Roman" w:hAnsi="Times New Roman" w:cs="Times New Roman"/>
          <w:sz w:val="28"/>
          <w:szCs w:val="28"/>
        </w:rPr>
        <w:t>Болотнинского района Новосибирской</w:t>
      </w:r>
      <w:r w:rsidR="005F0D89">
        <w:rPr>
          <w:rFonts w:ascii="Times New Roman" w:hAnsi="Times New Roman" w:cs="Times New Roman"/>
          <w:sz w:val="28"/>
          <w:szCs w:val="28"/>
        </w:rPr>
        <w:t xml:space="preserve"> области и подведомственными </w:t>
      </w:r>
      <w:r w:rsidRPr="009231C5">
        <w:rPr>
          <w:rFonts w:ascii="Times New Roman" w:hAnsi="Times New Roman" w:cs="Times New Roman"/>
          <w:sz w:val="28"/>
          <w:szCs w:val="28"/>
        </w:rPr>
        <w:t>муниц</w:t>
      </w:r>
      <w:r w:rsidR="00A97CBA">
        <w:rPr>
          <w:rFonts w:ascii="Times New Roman" w:hAnsi="Times New Roman" w:cs="Times New Roman"/>
          <w:sz w:val="28"/>
          <w:szCs w:val="28"/>
        </w:rPr>
        <w:t>ипальными казенными учреждениями и предприятиями</w:t>
      </w:r>
      <w:r w:rsidRPr="009231C5">
        <w:rPr>
          <w:rFonts w:ascii="Times New Roman" w:hAnsi="Times New Roman" w:cs="Times New Roman"/>
          <w:sz w:val="28"/>
          <w:szCs w:val="28"/>
        </w:rPr>
        <w:t>, отдельным видам товаров, работ, услуг (в том числе предельных цен товаров, работ, услуг)</w:t>
      </w: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30" w:rsidRPr="009231C5" w:rsidRDefault="002F2714" w:rsidP="002F2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9231C5">
        <w:rPr>
          <w:rFonts w:ascii="Times New Roman" w:hAnsi="Times New Roman" w:cs="Times New Roman"/>
          <w:color w:val="000000"/>
          <w:sz w:val="28"/>
          <w:szCs w:val="28"/>
        </w:rPr>
        <w:t>В соответствии с ч.5 ст. 19 Федерального закона от 05.04.2013 № 44-ФЗ «О контрактной системе в сфере закупок товаров, работ, услуг для обеспечения государс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нужд», п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r w:rsidR="006244F2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осибирской области от </w:t>
      </w:r>
      <w:r w:rsidR="00B95030">
        <w:rPr>
          <w:rFonts w:ascii="Times New Roman" w:hAnsi="Times New Roman" w:cs="Times New Roman"/>
          <w:color w:val="000000"/>
          <w:sz w:val="28"/>
          <w:szCs w:val="28"/>
        </w:rPr>
        <w:t>09.12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.2022 г. № </w:t>
      </w:r>
      <w:r w:rsidR="00B95030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 «О правилах определения требований к зак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упаемым администрацией </w:t>
      </w:r>
      <w:r w:rsidR="006244F2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й области и подведомственными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казенными учреждениями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и предприятиями </w:t>
      </w:r>
      <w:r w:rsidR="006244F2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proofErr w:type="gramEnd"/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62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предельных цен товаров, работ, услуг)"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в целях эффективного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 бюджетных средств, администрация </w:t>
      </w:r>
      <w:r w:rsidR="006244F2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</w:t>
      </w:r>
    </w:p>
    <w:p w:rsidR="002F2714" w:rsidRDefault="00A97CBA" w:rsidP="002F27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7CBA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2F2714" w:rsidRPr="009231C5">
        <w:rPr>
          <w:rFonts w:ascii="Times New Roman" w:hAnsi="Times New Roman" w:cs="Times New Roman"/>
          <w:sz w:val="28"/>
          <w:szCs w:val="28"/>
        </w:rPr>
        <w:t>:</w:t>
      </w:r>
    </w:p>
    <w:p w:rsidR="00B95030" w:rsidRPr="009231C5" w:rsidRDefault="00B95030" w:rsidP="002F27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714" w:rsidRDefault="002F2714" w:rsidP="002F2714">
      <w:pPr>
        <w:spacing w:after="0" w:line="240" w:lineRule="auto"/>
        <w:ind w:firstLine="6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ведомственный перечень о</w:t>
      </w:r>
      <w:r w:rsidRPr="00FB48E4">
        <w:rPr>
          <w:rFonts w:ascii="Times New Roman" w:hAnsi="Times New Roman" w:cs="Times New Roman"/>
          <w:color w:val="000000"/>
          <w:sz w:val="28"/>
          <w:szCs w:val="28"/>
        </w:rPr>
        <w:t>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1629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5D1629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2714" w:rsidRDefault="002F2714" w:rsidP="002F27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6244F2">
        <w:rPr>
          <w:rFonts w:ascii="Times New Roman" w:hAnsi="Times New Roman" w:cs="Times New Roman"/>
          <w:color w:val="000000"/>
          <w:sz w:val="28"/>
          <w:szCs w:val="28"/>
        </w:rPr>
        <w:t>официальном вестнике Варламовского сельсовета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, разместить на официальном сайте администрации </w:t>
      </w:r>
      <w:r w:rsidR="006244F2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5D16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Новосибирской области в информационно-телекоммуникационной сети «Интернет», разместить в государственной информационной системе в сфере закупок Новосибирской области и в единой информационной системе в сфере закупок.</w:t>
      </w:r>
    </w:p>
    <w:p w:rsidR="005D1629" w:rsidRDefault="005D1629" w:rsidP="005D1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629" w:rsidRPr="009231C5" w:rsidRDefault="005D1629" w:rsidP="005D1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629" w:rsidRDefault="002F2714" w:rsidP="002F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44F2">
        <w:rPr>
          <w:rFonts w:ascii="Times New Roman" w:hAnsi="Times New Roman" w:cs="Times New Roman"/>
          <w:sz w:val="28"/>
          <w:szCs w:val="28"/>
        </w:rPr>
        <w:t>Варламовского</w:t>
      </w:r>
      <w:r w:rsidR="005D16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2714" w:rsidRPr="009231C5" w:rsidRDefault="002F2714" w:rsidP="002F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                  </w:t>
      </w:r>
    </w:p>
    <w:p w:rsidR="002F2714" w:rsidRPr="00297484" w:rsidRDefault="002F2714" w:rsidP="002F27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1C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D16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4F2">
        <w:rPr>
          <w:rFonts w:ascii="Times New Roman" w:hAnsi="Times New Roman" w:cs="Times New Roman"/>
          <w:sz w:val="28"/>
          <w:szCs w:val="28"/>
        </w:rPr>
        <w:t xml:space="preserve">                                       А.В.Приболовец</w:t>
      </w:r>
    </w:p>
    <w:p w:rsidR="002F2714" w:rsidRPr="00FB48E4" w:rsidRDefault="002F2714" w:rsidP="002F2714">
      <w:pPr>
        <w:rPr>
          <w:rFonts w:ascii="Times New Roman" w:hAnsi="Times New Roman" w:cs="Times New Roman"/>
          <w:sz w:val="20"/>
          <w:szCs w:val="20"/>
        </w:rPr>
      </w:pPr>
    </w:p>
    <w:p w:rsidR="002F2714" w:rsidRDefault="002F2714" w:rsidP="002F2714">
      <w:pPr>
        <w:sectPr w:rsidR="002F2714" w:rsidSect="005F0D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-5" w:type="dxa"/>
        <w:tblLook w:val="04A0"/>
      </w:tblPr>
      <w:tblGrid>
        <w:gridCol w:w="4853"/>
        <w:gridCol w:w="4853"/>
        <w:gridCol w:w="4854"/>
      </w:tblGrid>
      <w:tr w:rsidR="002F2714" w:rsidRPr="008B2184" w:rsidTr="005F0D89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2F2714" w:rsidRPr="008B2184" w:rsidRDefault="002F2714" w:rsidP="005F0D89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2F2714" w:rsidRPr="008B2184" w:rsidRDefault="002F2714" w:rsidP="005F0D89">
            <w:pPr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F2714" w:rsidRPr="008B2184" w:rsidRDefault="005D1629" w:rsidP="005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2F2714" w:rsidRPr="008B2184" w:rsidRDefault="002F2714" w:rsidP="005D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r w:rsidR="006244F2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Болотнинского района Новосибирской области от </w:t>
            </w:r>
            <w:r w:rsidR="00491C93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91C9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2F2714" w:rsidRDefault="002F2714" w:rsidP="005F0D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«Об утверждении требований к закупаемым</w:t>
            </w:r>
            <w:r w:rsidR="00624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r w:rsidR="006244F2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Болотнинского района Новосибирско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й области и подведомственными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казенными учреждениями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предприятиями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, отдельным видам товаров, работ, услуг (в том числе предельных цен товаров, работ, услуг)»</w:t>
            </w:r>
          </w:p>
          <w:p w:rsidR="002F2714" w:rsidRPr="00DC499B" w:rsidRDefault="002F2714" w:rsidP="00DC49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F2714" w:rsidRPr="00956BCC" w:rsidRDefault="002F2714" w:rsidP="002F2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CC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2F2714" w:rsidRPr="00956BCC" w:rsidRDefault="002F2714" w:rsidP="002F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56BCC">
        <w:rPr>
          <w:rFonts w:ascii="Times New Roman" w:hAnsi="Times New Roman" w:cs="Times New Roman"/>
          <w:b/>
          <w:sz w:val="24"/>
          <w:szCs w:val="24"/>
        </w:rPr>
        <w:t>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273"/>
        <w:gridCol w:w="1883"/>
        <w:gridCol w:w="875"/>
        <w:gridCol w:w="990"/>
        <w:gridCol w:w="2064"/>
        <w:gridCol w:w="1968"/>
        <w:gridCol w:w="2016"/>
        <w:gridCol w:w="2160"/>
        <w:gridCol w:w="1007"/>
        <w:gridCol w:w="869"/>
        <w:gridCol w:w="9"/>
        <w:gridCol w:w="13"/>
      </w:tblGrid>
      <w:tr w:rsidR="002F2714" w:rsidRPr="00CB39C3" w:rsidTr="005F0D89">
        <w:trPr>
          <w:gridAfter w:val="2"/>
          <w:wAfter w:w="22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</w:hyperlink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>Варламовского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</w:t>
            </w:r>
          </w:p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960" w:type="dxa"/>
            <w:gridSpan w:val="4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>Варламовского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 Новосибирской области</w:t>
            </w:r>
          </w:p>
        </w:tc>
      </w:tr>
      <w:tr w:rsidR="002F2714" w:rsidRPr="00CB39C3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CB39C3" w:rsidRDefault="002F2714" w:rsidP="005F0D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CB39C3" w:rsidRDefault="002F2714" w:rsidP="005F0D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CB39C3" w:rsidRDefault="002F2714" w:rsidP="005F0D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75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right="-116" w:hanging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032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938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5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127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992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8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11</w:t>
            </w:r>
          </w:p>
        </w:tc>
      </w:tr>
      <w:tr w:rsidR="002F2714" w:rsidRPr="009F16F6" w:rsidTr="005F0D89">
        <w:tc>
          <w:tcPr>
            <w:tcW w:w="15332" w:type="dxa"/>
            <w:gridSpan w:val="13"/>
            <w:shd w:val="clear" w:color="auto" w:fill="auto"/>
          </w:tcPr>
          <w:p w:rsidR="002F2714" w:rsidRPr="00182557" w:rsidRDefault="002F2714" w:rsidP="005F0D8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</w:t>
            </w:r>
          </w:p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2557">
              <w:rPr>
                <w:rFonts w:ascii="Times New Roman" w:hAnsi="Times New Roman" w:cs="Times New Roman"/>
                <w:sz w:val="16"/>
                <w:szCs w:val="16"/>
              </w:rPr>
              <w:t>Правилам определения  требований к за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купаемым администрацией 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>Варламовского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 и подведомственными им казенными учреждениями и бюджетными учреждениями 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>Варламовского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Болотнинского района Новосибирской области,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>Варламовского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 Новосибирск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>ой области от __.__.2022 г. № ____</w:t>
            </w:r>
            <w:proofErr w:type="gramEnd"/>
          </w:p>
        </w:tc>
      </w:tr>
      <w:tr w:rsidR="002F2714" w:rsidRPr="009F16F6" w:rsidTr="005F0D89">
        <w:trPr>
          <w:gridAfter w:val="1"/>
          <w:wAfter w:w="13" w:type="dxa"/>
          <w:trHeight w:val="2808"/>
        </w:trPr>
        <w:tc>
          <w:tcPr>
            <w:tcW w:w="435" w:type="dxa"/>
            <w:shd w:val="clear" w:color="auto" w:fill="auto"/>
          </w:tcPr>
          <w:p w:rsidR="002F2714" w:rsidRPr="001519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2F2714" w:rsidRPr="001519BE" w:rsidRDefault="002F2714" w:rsidP="005F0D89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1519BE">
              <w:rPr>
                <w:bCs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854" w:type="dxa"/>
            <w:shd w:val="clear" w:color="auto" w:fill="auto"/>
          </w:tcPr>
          <w:p w:rsidR="002F2714" w:rsidRPr="00D3252D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йства ввода, устройства вывода</w:t>
            </w: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231"/>
        </w:trPr>
        <w:tc>
          <w:tcPr>
            <w:tcW w:w="435" w:type="dxa"/>
            <w:shd w:val="clear" w:color="auto" w:fill="auto"/>
          </w:tcPr>
          <w:p w:rsidR="002F2714" w:rsidRPr="001519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1519BE" w:rsidRDefault="002F2714" w:rsidP="005F0D89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1519BE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990E94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231"/>
        </w:trPr>
        <w:tc>
          <w:tcPr>
            <w:tcW w:w="435" w:type="dxa"/>
            <w:vMerge w:val="restart"/>
            <w:shd w:val="clear" w:color="auto" w:fill="auto"/>
          </w:tcPr>
          <w:p w:rsidR="002F2714" w:rsidRPr="001519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D3252D" w:rsidRDefault="002F2714" w:rsidP="005F0D89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D3252D">
              <w:rPr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D3252D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Компьютер персональный настольный (моноблок)</w:t>
            </w: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диагонали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E94"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диагонали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CA0">
              <w:rPr>
                <w:rFonts w:ascii="Times New Roman" w:hAnsi="Times New Roman" w:cs="Times New Roman"/>
                <w:sz w:val="16"/>
                <w:szCs w:val="16"/>
              </w:rPr>
              <w:t>≥  23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381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C8">
              <w:rPr>
                <w:rFonts w:ascii="Times New Roman" w:hAnsi="Times New Roman" w:cs="Times New Roman"/>
                <w:sz w:val="16"/>
                <w:szCs w:val="16"/>
              </w:rPr>
              <w:t>Не менее 1920х1080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327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0">
              <w:rPr>
                <w:rFonts w:ascii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389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410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базовая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417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8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2127" w:type="dxa"/>
            <w:shd w:val="clear" w:color="auto" w:fill="auto"/>
          </w:tcPr>
          <w:p w:rsidR="002F2714" w:rsidRPr="00602BF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2127" w:type="dxa"/>
            <w:shd w:val="clear" w:color="auto" w:fill="auto"/>
          </w:tcPr>
          <w:p w:rsidR="002F2714" w:rsidRPr="001746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7031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  <w:shd w:val="clear" w:color="auto" w:fill="auto"/>
          </w:tcPr>
          <w:p w:rsidR="002F2714" w:rsidRPr="001B197A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озможно предустановленное</w:t>
            </w:r>
          </w:p>
        </w:tc>
        <w:tc>
          <w:tcPr>
            <w:tcW w:w="99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414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975" w:type="dxa"/>
            <w:shd w:val="clear" w:color="auto" w:fill="auto"/>
          </w:tcPr>
          <w:p w:rsidR="002F2714" w:rsidRPr="00D320E0" w:rsidRDefault="002F2714" w:rsidP="005F0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Pr="00D320E0" w:rsidRDefault="002F2714" w:rsidP="005F0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20E0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90000,00</w:t>
            </w:r>
          </w:p>
        </w:tc>
        <w:tc>
          <w:tcPr>
            <w:tcW w:w="99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242E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E57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8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031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Предустановленное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программное обеспечение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  <w:shd w:val="clear" w:color="auto" w:fill="auto"/>
          </w:tcPr>
          <w:p w:rsidR="002F2714" w:rsidRPr="001B197A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озможно предустановленное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975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Pr="008B23A1" w:rsidRDefault="002F2714" w:rsidP="005F0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60000,00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313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8758B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8B4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  <w:trHeight w:val="866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54" w:type="dxa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854" w:type="dxa"/>
            <w:shd w:val="clear" w:color="auto" w:fill="auto"/>
          </w:tcPr>
          <w:p w:rsidR="002F2714" w:rsidRPr="003066C8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0766EB">
              <w:rPr>
                <w:bCs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F5043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227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0766EB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F5043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360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26.20.16.120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2127" w:type="dxa"/>
            <w:shd w:val="clear" w:color="auto" w:fill="auto"/>
          </w:tcPr>
          <w:p w:rsidR="002F2714" w:rsidRPr="00F5043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450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0009FF">
              <w:rPr>
                <w:rFonts w:ascii="Times New Roman" w:hAnsi="Times New Roman" w:cs="Times New Roman"/>
                <w:sz w:val="16"/>
                <w:szCs w:val="16"/>
              </w:rPr>
              <w:t>ветной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\чёрно-белый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346899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6899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  <w:trHeight w:val="229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26.20.16.150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 xml:space="preserve">е менее 600х600 </w:t>
            </w:r>
            <w:proofErr w:type="spellStart"/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179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416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0009FF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9FF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26.20.17</w:t>
            </w:r>
          </w:p>
        </w:tc>
        <w:tc>
          <w:tcPr>
            <w:tcW w:w="1854" w:type="dxa"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544CFC">
              <w:rPr>
                <w:bCs/>
                <w:color w:val="000000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2F2714" w:rsidRPr="004F3A72" w:rsidRDefault="002F2714" w:rsidP="005F0D8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44CFC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 w:rsidRPr="003066C8">
              <w:rPr>
                <w:bCs/>
                <w:color w:val="000000"/>
                <w:sz w:val="16"/>
                <w:szCs w:val="16"/>
              </w:rPr>
              <w:t>26.20.17.110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2"/>
              <w:jc w:val="center"/>
              <w:rPr>
                <w:color w:val="000000"/>
                <w:sz w:val="16"/>
                <w:szCs w:val="16"/>
              </w:rPr>
            </w:pPr>
            <w:r w:rsidRPr="003066C8">
              <w:rPr>
                <w:bCs/>
                <w:color w:val="000000"/>
                <w:sz w:val="16"/>
                <w:szCs w:val="16"/>
              </w:rPr>
              <w:t xml:space="preserve">Мониторы, </w:t>
            </w:r>
          </w:p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66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подключаемые к компьютеру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  <w:r w:rsidRPr="000810DF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0810DF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  <w:r w:rsidRPr="000810DF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0810DF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938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2127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менее 1920х1080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938" w:type="dxa"/>
            <w:shd w:val="clear" w:color="auto" w:fill="auto"/>
          </w:tcPr>
          <w:p w:rsidR="002F2714" w:rsidRPr="001F45C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2127" w:type="dxa"/>
            <w:shd w:val="clear" w:color="auto" w:fill="auto"/>
          </w:tcPr>
          <w:p w:rsidR="002F2714" w:rsidRPr="001F45C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0">
              <w:rPr>
                <w:rFonts w:ascii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более 20000,00</w:t>
            </w: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более 20000,00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49278D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78D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26.20.18</w:t>
            </w:r>
          </w:p>
        </w:tc>
        <w:tc>
          <w:tcPr>
            <w:tcW w:w="1854" w:type="dxa"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0766EB">
              <w:rPr>
                <w:bCs/>
                <w:color w:val="000000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BA6D33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26.20.18.000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BA6D33">
              <w:rPr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 xml:space="preserve">е менее 600х600 </w:t>
            </w:r>
            <w:proofErr w:type="spellStart"/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5025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258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854" w:type="dxa"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3B521C">
              <w:rPr>
                <w:bCs/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A16C00">
              <w:rPr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3B521C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26.30.22.000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3F2C27">
              <w:rPr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/IOS/</w:t>
            </w: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управления 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Метод управления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16C00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16C00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1 и более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A16C00">
              <w:rPr>
                <w:bCs/>
                <w:color w:val="000000"/>
                <w:sz w:val="16"/>
                <w:szCs w:val="16"/>
              </w:rPr>
              <w:t>аличие модулей и интерфейсов (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A16C00">
              <w:rPr>
                <w:bCs/>
                <w:color w:val="000000"/>
                <w:sz w:val="16"/>
                <w:szCs w:val="16"/>
              </w:rPr>
              <w:t>аличие модулей и интерфейсов (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 xml:space="preserve">, GPS  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A16C00">
              <w:rPr>
                <w:bCs/>
                <w:color w:val="000000"/>
                <w:sz w:val="16"/>
                <w:szCs w:val="16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A16C00">
              <w:rPr>
                <w:bCs/>
                <w:color w:val="000000"/>
                <w:sz w:val="16"/>
                <w:szCs w:val="16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194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right="-8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1"/>
              <w:ind w:right="-111"/>
              <w:jc w:val="center"/>
              <w:rPr>
                <w:b/>
                <w:sz w:val="16"/>
                <w:szCs w:val="16"/>
              </w:rPr>
            </w:pPr>
            <w:r w:rsidRPr="00000D81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15000,00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000D81" w:rsidRDefault="005D1629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6244F2">
              <w:rPr>
                <w:rFonts w:ascii="Times New Roman" w:hAnsi="Times New Roman" w:cs="Times New Roman"/>
                <w:b/>
                <w:sz w:val="16"/>
                <w:szCs w:val="16"/>
              </w:rPr>
              <w:t>Варламовского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 </w:t>
            </w:r>
            <w:r w:rsidR="002F2714"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Болотнинского района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000D81" w:rsidRDefault="002F2714" w:rsidP="005F0D89">
            <w:pPr>
              <w:pStyle w:val="1"/>
              <w:ind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D81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12000</w:t>
            </w: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000D81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  <w:r w:rsidR="005D16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меститель главы администрации, </w:t>
            </w: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руководители  учреждений и предприятий</w:t>
            </w:r>
          </w:p>
        </w:tc>
      </w:tr>
      <w:tr w:rsidR="002F2714" w:rsidRPr="00505757" w:rsidTr="00E572A4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2F2714" w:rsidRPr="00000D81" w:rsidRDefault="002F2714" w:rsidP="00E572A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29.10.22.000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  <w:szCs w:val="14"/>
              </w:rPr>
              <w:t>Средства транспортн</w:t>
            </w:r>
            <w:r w:rsidRPr="00241C53">
              <w:rPr>
                <w:sz w:val="14"/>
                <w:szCs w:val="14"/>
              </w:rPr>
              <w:t xml:space="preserve">ые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 xml:space="preserve">сдвигателем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сискровым</w:t>
            </w:r>
            <w:r>
              <w:rPr>
                <w:sz w:val="14"/>
                <w:szCs w:val="14"/>
              </w:rPr>
              <w:t xml:space="preserve"> зажигание</w:t>
            </w:r>
            <w:r w:rsidRPr="00241C53">
              <w:rPr>
                <w:sz w:val="14"/>
                <w:szCs w:val="14"/>
              </w:rPr>
              <w:t xml:space="preserve">м,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срабочимобъемом</w:t>
            </w:r>
            <w:r>
              <w:rPr>
                <w:sz w:val="14"/>
                <w:szCs w:val="14"/>
              </w:rPr>
              <w:t xml:space="preserve"> цилиндров более 1500 см3, </w:t>
            </w:r>
            <w:r w:rsidRPr="00241C53">
              <w:rPr>
                <w:sz w:val="14"/>
                <w:szCs w:val="14"/>
              </w:rPr>
              <w:t>новые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Вид комплектации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Вид комплектации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минимальная (базовая), стандартная, классическая, полная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362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2500000,00</w:t>
            </w:r>
          </w:p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2B1218" w:rsidRDefault="002F2714" w:rsidP="005F0D89">
            <w:pPr>
              <w:pStyle w:val="1"/>
              <w:ind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1218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2B121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более </w:t>
            </w:r>
            <w:r w:rsidRPr="002B1218">
              <w:rPr>
                <w:rFonts w:ascii="Times New Roman" w:hAnsi="Times New Roman" w:cs="Times New Roman"/>
                <w:b/>
                <w:sz w:val="16"/>
                <w:szCs w:val="16"/>
              </w:rPr>
              <w:t>2500000,00</w:t>
            </w:r>
          </w:p>
        </w:tc>
        <w:tc>
          <w:tcPr>
            <w:tcW w:w="992" w:type="dxa"/>
            <w:shd w:val="clear" w:color="auto" w:fill="auto"/>
          </w:tcPr>
          <w:p w:rsidR="002F2714" w:rsidRPr="002B121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2B121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должности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2B1218" w:rsidRDefault="00E572A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6244F2">
              <w:rPr>
                <w:rFonts w:ascii="Times New Roman" w:hAnsi="Times New Roman" w:cs="Times New Roman"/>
                <w:b/>
                <w:sz w:val="16"/>
                <w:szCs w:val="16"/>
              </w:rPr>
              <w:t>Варламовского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 </w:t>
            </w:r>
            <w:r w:rsidR="002F2714" w:rsidRPr="002B1218">
              <w:rPr>
                <w:rFonts w:ascii="Times New Roman" w:hAnsi="Times New Roman" w:cs="Times New Roman"/>
                <w:b/>
                <w:sz w:val="16"/>
                <w:szCs w:val="16"/>
              </w:rPr>
              <w:t>Болотнинского района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93527">
              <w:rPr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</w:t>
            </w:r>
            <w:r w:rsidRPr="00781575">
              <w:rPr>
                <w:sz w:val="14"/>
                <w:szCs w:val="14"/>
              </w:rPr>
              <w:t>ебель для сидения, преимущественно с металлическим каркасом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облицовочные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985" w:type="dxa"/>
            <w:shd w:val="clear" w:color="auto" w:fill="auto"/>
          </w:tcPr>
          <w:p w:rsidR="002F2714" w:rsidRPr="0089352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 (металл), о</w:t>
            </w:r>
            <w:r w:rsidRPr="00893527">
              <w:rPr>
                <w:rFonts w:ascii="Times New Roman" w:hAnsi="Times New Roman" w:cs="Times New Roman"/>
                <w:sz w:val="16"/>
                <w:szCs w:val="16"/>
              </w:rPr>
              <w:t>блицовочные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E572A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должности, 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 учреждений и предприятий 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 xml:space="preserve"> Варламовского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района, заместитель главы администрации, руководи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тели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облицовочные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-искусственная кожа. Возможные значения: </w:t>
            </w: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(микрофи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бра), ткань, нетканые материалы.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облицовочные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-искусственная кожа. Возможные значения: </w:t>
            </w: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DF4BDC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пециалист 1-го разряда, спе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>циалист 2-го разряда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854" w:type="dxa"/>
            <w:shd w:val="clear" w:color="auto" w:fill="auto"/>
          </w:tcPr>
          <w:p w:rsidR="002F2714" w:rsidRPr="00AD6DBF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AD6DBF">
              <w:rPr>
                <w:bCs/>
                <w:color w:val="000000"/>
                <w:sz w:val="16"/>
                <w:szCs w:val="16"/>
              </w:rPr>
              <w:t xml:space="preserve">Мебель </w:t>
            </w:r>
            <w:r w:rsidR="00BB21BB">
              <w:rPr>
                <w:bCs/>
                <w:color w:val="000000"/>
                <w:sz w:val="16"/>
                <w:szCs w:val="16"/>
              </w:rPr>
              <w:t>деревянная</w:t>
            </w:r>
            <w:r w:rsidRPr="00AD6DBF">
              <w:rPr>
                <w:bCs/>
                <w:color w:val="000000"/>
                <w:sz w:val="16"/>
                <w:szCs w:val="16"/>
              </w:rPr>
              <w:t xml:space="preserve"> для офисов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BB21BB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</w:t>
            </w:r>
            <w:r w:rsidRPr="00AD6DBF">
              <w:rPr>
                <w:bCs/>
                <w:color w:val="000000"/>
                <w:sz w:val="16"/>
                <w:szCs w:val="16"/>
              </w:rPr>
              <w:t xml:space="preserve">ебель для сидения, преимущественно с </w:t>
            </w:r>
            <w:r w:rsidR="00BB21BB">
              <w:rPr>
                <w:bCs/>
                <w:color w:val="000000"/>
                <w:sz w:val="16"/>
                <w:szCs w:val="16"/>
              </w:rPr>
              <w:t>деревянным</w:t>
            </w:r>
            <w:r w:rsidRPr="00AD6DBF">
              <w:rPr>
                <w:bCs/>
                <w:color w:val="000000"/>
                <w:sz w:val="16"/>
                <w:szCs w:val="16"/>
              </w:rPr>
              <w:t xml:space="preserve"> каркасом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>ые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руководители  учреждений и предприятий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 xml:space="preserve"> Варламовского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района, заместитель главы администрации, руководители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DF4BDC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пециалист 1-го разряда, спе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>циалист 2-го разряда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31.01.12.190</w:t>
            </w:r>
          </w:p>
        </w:tc>
        <w:tc>
          <w:tcPr>
            <w:tcW w:w="1854" w:type="dxa"/>
            <w:shd w:val="clear" w:color="auto" w:fill="auto"/>
          </w:tcPr>
          <w:p w:rsidR="002F2714" w:rsidRPr="00E84649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E84649">
              <w:rPr>
                <w:bCs/>
                <w:color w:val="000000"/>
                <w:sz w:val="16"/>
                <w:szCs w:val="16"/>
              </w:rPr>
              <w:t>Мебель офисная деревянная прочая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до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лжности,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>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и предприятий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6244F2">
              <w:rPr>
                <w:rFonts w:ascii="Times New Roman" w:hAnsi="Times New Roman" w:cs="Times New Roman"/>
                <w:sz w:val="16"/>
                <w:szCs w:val="16"/>
              </w:rPr>
              <w:t>Варламовского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72A4">
              <w:rPr>
                <w:rFonts w:ascii="Times New Roman" w:hAnsi="Times New Roman" w:cs="Times New Roman"/>
                <w:sz w:val="16"/>
                <w:szCs w:val="16"/>
              </w:rPr>
              <w:t>сельсовета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района, заместитель главы администрации,  руководители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DF4BDC" w:rsidP="00DF4BDC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 xml:space="preserve">пециалист 1-го разряда, специалист 2-го разряда, работники по техническому обслуживанию деятельности муниципального органа, прочие сотрудники 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и предприятий</w:t>
            </w:r>
          </w:p>
        </w:tc>
      </w:tr>
    </w:tbl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Pr="00505757" w:rsidRDefault="002F2714" w:rsidP="002F2714">
      <w:pPr>
        <w:rPr>
          <w:sz w:val="16"/>
          <w:szCs w:val="16"/>
        </w:rPr>
      </w:pPr>
    </w:p>
    <w:p w:rsidR="000C025F" w:rsidRDefault="000C025F"/>
    <w:sectPr w:rsidR="000C025F" w:rsidSect="005F0D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14"/>
    <w:rsid w:val="000B529D"/>
    <w:rsid w:val="000C025F"/>
    <w:rsid w:val="002F2714"/>
    <w:rsid w:val="003278B0"/>
    <w:rsid w:val="00491C93"/>
    <w:rsid w:val="004C3B55"/>
    <w:rsid w:val="005D1629"/>
    <w:rsid w:val="005F0D89"/>
    <w:rsid w:val="006244F2"/>
    <w:rsid w:val="00A97CBA"/>
    <w:rsid w:val="00B822DF"/>
    <w:rsid w:val="00B95030"/>
    <w:rsid w:val="00BB21BB"/>
    <w:rsid w:val="00DC499B"/>
    <w:rsid w:val="00DF4BDC"/>
    <w:rsid w:val="00E572A4"/>
    <w:rsid w:val="00E9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714"/>
    <w:pPr>
      <w:widowControl w:val="0"/>
      <w:autoSpaceDE w:val="0"/>
      <w:autoSpaceDN w:val="0"/>
      <w:adjustRightInd w:val="0"/>
      <w:spacing w:after="0" w:line="308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F27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2F271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7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F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1C41A85057EFDD50EE2928EE369EC8573A1DDE6FB9AA4CAB3F16AB76mB14I" TargetMode="External"/><Relationship Id="rId4" Type="http://schemas.openxmlformats.org/officeDocument/2006/relationships/hyperlink" Target="consultantplus://offline/ref=FE1C41A85057EFDD50EE2928EE369EC8573819DB6DB5AA4CAB3F16AB76mB1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User777</cp:lastModifiedBy>
  <cp:revision>8</cp:revision>
  <cp:lastPrinted>2022-12-19T09:21:00Z</cp:lastPrinted>
  <dcterms:created xsi:type="dcterms:W3CDTF">2022-10-20T08:22:00Z</dcterms:created>
  <dcterms:modified xsi:type="dcterms:W3CDTF">2022-12-19T09:22:00Z</dcterms:modified>
</cp:coreProperties>
</file>